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411852</w:t>
      </w:r>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MPR applicability for FR1 intra-band UL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8.1.1.2.2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MPR applicability for FR1 intra-band UL CA.</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2.1. MPR applicability</w:t>
            </w:r>
            <w:r>
              <w:rPr>
                <w:sz w:val="20"/>
                <w:szCs w:val="20"/>
                <w:lang w:val="en-US"/>
              </w:rPr>
              <w:t xml:space="preserve"> for FR1 intra-band contiguous UL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pStyle w:val="34"/>
              <w:numPr>
                <w:ilvl w:val="0"/>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宋体"/>
                <w:sz w:val="20"/>
                <w:szCs w:val="20"/>
                <w:lang w:eastAsia="zh-CN"/>
              </w:rPr>
              <w:t xml:space="preserve">For PC3 and PC2 contiguous UL CA use the corresponding single CC MPR when only 1 CC is activated. </w:t>
            </w:r>
          </w:p>
          <w:p>
            <w:pPr>
              <w:pStyle w:val="34"/>
              <w:numPr>
                <w:ilvl w:val="1"/>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 xml:space="preserve">FFS: MPR defined in Table 6.2.2-1 applies for UE power class 3 CA bandwidth classes B and C. </w:t>
            </w:r>
          </w:p>
          <w:p>
            <w:pPr>
              <w:pStyle w:val="34"/>
              <w:numPr>
                <w:ilvl w:val="1"/>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 xml:space="preserve">FFS: MPR defined in Table 6.2D.2-1 applies for power class 2 CA bandwidth classes B and C when TxD capability is indicated. </w:t>
            </w:r>
          </w:p>
          <w:p>
            <w:pPr>
              <w:pStyle w:val="34"/>
              <w:numPr>
                <w:ilvl w:val="1"/>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 xml:space="preserve">FFS: MPR defined in Table 6.2.2-2 applies for power class 2 CA bandwidth classes B and C when TxD capability is absent. </w:t>
            </w:r>
          </w:p>
          <w:p>
            <w:pPr>
              <w:pStyle w:val="34"/>
              <w:numPr>
                <w:ilvl w:val="1"/>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FS whether spurious emissions/ACLR/SEM are kept for aggregated CBW for CA</w:t>
            </w:r>
          </w:p>
          <w:p>
            <w:pPr>
              <w:overflowPunct w:val="0"/>
              <w:autoSpaceDE w:val="0"/>
              <w:autoSpaceDN w:val="0"/>
              <w:adjustRightInd w:val="0"/>
              <w:spacing w:after="180"/>
              <w:textAlignment w:val="baseline"/>
              <w:rPr>
                <w:sz w:val="20"/>
                <w:szCs w:val="20"/>
              </w:rPr>
            </w:pPr>
          </w:p>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 xml:space="preserve">2.2. MPR applicability for FR1 intra-band UL non-contiguous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overflowPunct w:val="0"/>
              <w:autoSpaceDE w:val="0"/>
              <w:autoSpaceDN w:val="0"/>
              <w:adjustRightInd w:val="0"/>
              <w:spacing w:after="180"/>
              <w:textAlignment w:val="baseline"/>
              <w:rPr>
                <w:rFonts w:eastAsiaTheme="minorEastAsia"/>
                <w:sz w:val="20"/>
                <w:szCs w:val="20"/>
                <w:lang w:eastAsia="zh-CN"/>
              </w:rPr>
            </w:pPr>
            <w:r>
              <w:rPr>
                <w:rFonts w:hint="eastAsia" w:eastAsiaTheme="minorEastAsia"/>
                <w:sz w:val="20"/>
                <w:szCs w:val="20"/>
                <w:lang w:eastAsia="zh-CN"/>
              </w:rPr>
              <w:t>E</w:t>
            </w:r>
            <w:r>
              <w:rPr>
                <w:rFonts w:eastAsiaTheme="minorEastAsia"/>
                <w:sz w:val="20"/>
                <w:szCs w:val="20"/>
                <w:lang w:eastAsia="zh-CN"/>
              </w:rPr>
              <w:t xml:space="preserve">nhancements not aligned with the WID will not be considered. </w:t>
            </w:r>
          </w:p>
          <w:p>
            <w:pPr>
              <w:pStyle w:val="34"/>
              <w:numPr>
                <w:ilvl w:val="0"/>
                <w:numId w:val="10"/>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Further clarify the scope for NC CA in next meeting based on the WID objectives.</w:t>
            </w:r>
          </w:p>
          <w:p>
            <w:pPr>
              <w:pStyle w:val="34"/>
              <w:numPr>
                <w:ilvl w:val="0"/>
                <w:numId w:val="0"/>
              </w:numPr>
              <w:overflowPunct w:val="0"/>
              <w:autoSpaceDE w:val="0"/>
              <w:autoSpaceDN w:val="0"/>
              <w:adjustRightInd w:val="0"/>
              <w:spacing w:after="180"/>
              <w:textAlignment w:val="baseline"/>
              <w:rPr>
                <w:rFonts w:hint="default"/>
                <w:b/>
                <w:bCs/>
                <w:i/>
                <w:iCs/>
                <w:sz w:val="20"/>
                <w:szCs w:val="20"/>
                <w:vertAlign w:val="baseline"/>
                <w:lang w:val="en-US" w:eastAsia="zh-CN"/>
              </w:rPr>
            </w:pPr>
          </w:p>
        </w:tc>
      </w:tr>
    </w:tbl>
    <w:p>
      <w:pPr>
        <w:rPr>
          <w:rFonts w:hint="default"/>
          <w:b w:val="0"/>
          <w:bCs w:val="0"/>
          <w:i w:val="0"/>
          <w:iCs/>
          <w:sz w:val="20"/>
          <w:szCs w:val="20"/>
          <w:lang w:val="en-US" w:eastAsia="zh-CN"/>
        </w:rPr>
      </w:pPr>
      <w:r>
        <w:rPr>
          <w:rFonts w:hint="eastAsia"/>
          <w:sz w:val="20"/>
          <w:szCs w:val="20"/>
          <w:lang w:val="en-US" w:eastAsia="zh-CN"/>
        </w:rPr>
        <w:t xml:space="preserve">For MPR applicability for FR1 intra-band contiguous UL CA, there are two questions need to be discussed. The first is whether </w:t>
      </w:r>
      <w:r>
        <w:rPr>
          <w:rFonts w:eastAsia="宋体"/>
          <w:sz w:val="20"/>
          <w:szCs w:val="20"/>
          <w:lang w:eastAsia="zh-CN"/>
        </w:rPr>
        <w:t>contiguous UL CA</w:t>
      </w:r>
      <w:r>
        <w:rPr>
          <w:rFonts w:hint="eastAsia"/>
          <w:sz w:val="20"/>
          <w:szCs w:val="20"/>
          <w:lang w:val="en-US" w:eastAsia="zh-CN"/>
        </w:rPr>
        <w:t xml:space="preserve"> need to support power boosting when only 1 CC is activated because </w:t>
      </w:r>
      <w:r>
        <w:rPr>
          <w:rFonts w:eastAsiaTheme="minorEastAsia"/>
          <w:sz w:val="20"/>
          <w:szCs w:val="20"/>
          <w:lang w:eastAsia="zh-CN"/>
        </w:rPr>
        <w:t>Table 6.2.2-1</w:t>
      </w:r>
      <w:r>
        <w:rPr>
          <w:rFonts w:hint="eastAsia" w:eastAsiaTheme="minorEastAsia"/>
          <w:sz w:val="20"/>
          <w:szCs w:val="20"/>
          <w:lang w:val="en-US" w:eastAsia="zh-CN"/>
        </w:rPr>
        <w:t>,Table 6.2D.2-1 and Table 6.2.2-2 not only include MPR but also support power boosting</w:t>
      </w:r>
      <w:r>
        <w:rPr>
          <w:rFonts w:hint="eastAsia"/>
          <w:sz w:val="20"/>
          <w:szCs w:val="20"/>
          <w:lang w:val="en-US" w:eastAsia="zh-CN"/>
        </w:rPr>
        <w:t xml:space="preserve">, which is defined for inner RB allocations of single carrier </w:t>
      </w:r>
      <w:r>
        <w:rPr>
          <w:rFonts w:hint="eastAsia" w:eastAsiaTheme="minorEastAsia"/>
          <w:sz w:val="20"/>
          <w:szCs w:val="20"/>
          <w:lang w:val="en-US" w:eastAsia="zh-CN"/>
        </w:rPr>
        <w:t>for DFT-s-OFDM with Pi/2 or Pi/2 BPSK w Pi/2 BPSK DMRS or QPSK</w:t>
      </w:r>
      <w:r>
        <w:rPr>
          <w:rFonts w:hint="eastAsia"/>
          <w:sz w:val="20"/>
          <w:szCs w:val="20"/>
          <w:lang w:val="en-US" w:eastAsia="zh-CN"/>
        </w:rPr>
        <w:t>. According to [4],</w:t>
      </w:r>
      <w:r>
        <w:rPr>
          <w:rFonts w:hint="eastAsia"/>
          <w:b w:val="0"/>
          <w:bCs w:val="0"/>
          <w:sz w:val="20"/>
          <w:szCs w:val="20"/>
          <w:lang w:val="en-US" w:eastAsia="zh-CN"/>
        </w:rPr>
        <w:t xml:space="preserve"> it stated that </w:t>
      </w:r>
      <w:bookmarkStart w:id="5" w:name="_Hlk150960138"/>
      <w:r>
        <w:rPr>
          <w:rFonts w:hint="eastAsia"/>
          <w:b w:val="0"/>
          <w:bCs w:val="0"/>
          <w:sz w:val="20"/>
          <w:szCs w:val="20"/>
          <w:lang w:val="en-US" w:eastAsia="zh-CN"/>
        </w:rPr>
        <w:t>[</w:t>
      </w:r>
      <w:r>
        <w:rPr>
          <w:b w:val="0"/>
          <w:bCs w:val="0"/>
          <w:i/>
          <w:sz w:val="20"/>
          <w:szCs w:val="20"/>
        </w:rPr>
        <w:t>powerBoostRel18</w:t>
      </w:r>
      <w:bookmarkEnd w:id="5"/>
      <w:r>
        <w:rPr>
          <w:rFonts w:hint="eastAsia"/>
          <w:b w:val="0"/>
          <w:bCs w:val="0"/>
          <w:i w:val="0"/>
          <w:iCs/>
          <w:sz w:val="20"/>
          <w:szCs w:val="20"/>
          <w:lang w:val="en-US" w:eastAsia="zh-CN"/>
        </w:rPr>
        <w:t>]</w:t>
      </w:r>
      <w:r>
        <w:rPr>
          <w:rFonts w:hint="eastAsia"/>
          <w:b w:val="0"/>
          <w:bCs w:val="0"/>
          <w:sz w:val="20"/>
          <w:szCs w:val="20"/>
          <w:lang w:val="en-US" w:eastAsia="zh-CN"/>
        </w:rPr>
        <w:t xml:space="preserve"> and [</w:t>
      </w:r>
      <w:r>
        <w:rPr>
          <w:b w:val="0"/>
          <w:bCs w:val="0"/>
          <w:i/>
          <w:sz w:val="20"/>
          <w:szCs w:val="20"/>
        </w:rPr>
        <w:t>powerBoost</w:t>
      </w:r>
      <w:r>
        <w:rPr>
          <w:b w:val="0"/>
          <w:bCs w:val="0"/>
          <w:i/>
          <w:sz w:val="20"/>
          <w:szCs w:val="20"/>
          <w:lang w:val="en-US"/>
        </w:rPr>
        <w:t>TS</w:t>
      </w:r>
      <w:r>
        <w:rPr>
          <w:b w:val="0"/>
          <w:bCs w:val="0"/>
          <w:i/>
          <w:sz w:val="20"/>
          <w:szCs w:val="20"/>
        </w:rPr>
        <w:t>Rel18</w:t>
      </w:r>
      <w:r>
        <w:rPr>
          <w:rFonts w:hint="eastAsia"/>
          <w:b w:val="0"/>
          <w:bCs w:val="0"/>
          <w:i w:val="0"/>
          <w:iCs/>
          <w:sz w:val="20"/>
          <w:szCs w:val="20"/>
          <w:lang w:val="en-US" w:eastAsia="zh-CN"/>
        </w:rPr>
        <w:t>]</w:t>
      </w:r>
      <w:r>
        <w:rPr>
          <w:rFonts w:hint="eastAsia"/>
          <w:b w:val="0"/>
          <w:bCs w:val="0"/>
          <w:sz w:val="20"/>
          <w:szCs w:val="20"/>
          <w:lang w:val="en-US" w:eastAsia="zh-CN"/>
        </w:rPr>
        <w:t xml:space="preserve"> are per FS capabilit</w:t>
      </w:r>
      <w:r>
        <w:rPr>
          <w:rFonts w:hint="eastAsia"/>
          <w:sz w:val="20"/>
          <w:szCs w:val="20"/>
          <w:lang w:val="en-US" w:eastAsia="zh-CN"/>
        </w:rPr>
        <w:t xml:space="preserve">y and only applicable to FR1. When only 1CC is activated, if the operating band of the activated CC supports </w:t>
      </w:r>
      <w:r>
        <w:rPr>
          <w:rFonts w:hint="eastAsia"/>
          <w:b w:val="0"/>
          <w:bCs w:val="0"/>
          <w:sz w:val="20"/>
          <w:szCs w:val="20"/>
          <w:lang w:val="en-US" w:eastAsia="zh-CN"/>
        </w:rPr>
        <w:t>UE</w:t>
      </w:r>
      <w:r>
        <w:rPr>
          <w:rFonts w:hint="eastAsia"/>
          <w:b w:val="0"/>
          <w:bCs w:val="0"/>
          <w:i/>
          <w:sz w:val="20"/>
          <w:szCs w:val="20"/>
          <w:lang w:val="en-US" w:eastAsia="zh-CN"/>
        </w:rPr>
        <w:t xml:space="preserve"> </w:t>
      </w:r>
      <w:r>
        <w:rPr>
          <w:rFonts w:hint="eastAsia"/>
          <w:b w:val="0"/>
          <w:bCs w:val="0"/>
          <w:i w:val="0"/>
          <w:iCs/>
          <w:sz w:val="20"/>
          <w:szCs w:val="20"/>
          <w:lang w:val="en-US" w:eastAsia="zh-CN"/>
        </w:rPr>
        <w:t>capability of</w:t>
      </w:r>
      <w:r>
        <w:rPr>
          <w:rFonts w:hint="eastAsia"/>
          <w:sz w:val="20"/>
          <w:szCs w:val="20"/>
          <w:lang w:val="en-US" w:eastAsia="zh-CN"/>
        </w:rPr>
        <w:t xml:space="preserve"> </w:t>
      </w:r>
      <w:r>
        <w:rPr>
          <w:rFonts w:hint="eastAsia"/>
          <w:b w:val="0"/>
          <w:bCs w:val="0"/>
          <w:sz w:val="20"/>
          <w:szCs w:val="20"/>
          <w:lang w:val="en-US" w:eastAsia="zh-CN"/>
        </w:rPr>
        <w:t>power boosting</w:t>
      </w:r>
      <w:r>
        <w:rPr>
          <w:rFonts w:hint="eastAsia"/>
          <w:b w:val="0"/>
          <w:bCs w:val="0"/>
          <w:i w:val="0"/>
          <w:iCs/>
          <w:sz w:val="20"/>
          <w:szCs w:val="20"/>
          <w:lang w:val="en-US" w:eastAsia="zh-CN"/>
        </w:rPr>
        <w:t>, power boosting should be supported by the activated CC. Hence, for PC3 and PC2 contiguous UL CA use the corresponding single CC MPR including power boosting when only 1 CC is activated.</w:t>
      </w:r>
    </w:p>
    <w:p>
      <w:pPr>
        <w:rPr>
          <w:rFonts w:hint="default"/>
          <w:b w:val="0"/>
          <w:bCs w:val="0"/>
          <w:i w:val="0"/>
          <w:iCs/>
          <w:sz w:val="20"/>
          <w:szCs w:val="20"/>
          <w:lang w:val="en-US" w:eastAsia="zh-CN"/>
        </w:rPr>
      </w:pPr>
      <w:r>
        <w:rPr>
          <w:rFonts w:hint="eastAsia"/>
          <w:b/>
          <w:bCs/>
          <w:i w:val="0"/>
          <w:iCs w:val="0"/>
          <w:sz w:val="20"/>
          <w:szCs w:val="20"/>
          <w:lang w:val="en-US" w:eastAsia="zh-CN"/>
        </w:rPr>
        <w:t>Proposal 1: For PC3 and PC2 contiguous UL CA use the corresponding single CC MPR including power boosting when only 1 CC is activated.</w:t>
      </w:r>
    </w:p>
    <w:p>
      <w:pPr>
        <w:rPr>
          <w:rFonts w:hint="default"/>
          <w:sz w:val="20"/>
          <w:szCs w:val="20"/>
          <w:lang w:val="en-US" w:eastAsia="zh-CN"/>
        </w:rPr>
      </w:pPr>
      <w:r>
        <w:rPr>
          <w:rFonts w:hint="eastAsia"/>
          <w:sz w:val="20"/>
          <w:szCs w:val="20"/>
          <w:lang w:val="en-US" w:eastAsia="zh-CN"/>
        </w:rPr>
        <w:t>The second is whether spurious emissions/ACLR/SEM are kept for aggregated CBW for CA or use ACLR/SEM/SE defined for single carrier when contiguous UL CA use the corresponding single CC MPR when only 1 CC is activated. From our understanding, using single carrier MPR instead of CA MPR means larger transmission power, and ACLR/SEM/SE requirement needs to meet the corresponding single carrier requirement.</w:t>
      </w:r>
    </w:p>
    <w:p>
      <w:pPr>
        <w:rPr>
          <w:rFonts w:hint="eastAsia"/>
          <w:b/>
          <w:bCs/>
          <w:i w:val="0"/>
          <w:iCs w:val="0"/>
          <w:sz w:val="20"/>
          <w:szCs w:val="20"/>
          <w:lang w:val="en-US" w:eastAsia="zh-CN"/>
        </w:rPr>
      </w:pPr>
      <w:r>
        <w:rPr>
          <w:rFonts w:hint="eastAsia"/>
          <w:b/>
          <w:bCs/>
          <w:i w:val="0"/>
          <w:iCs w:val="0"/>
          <w:sz w:val="20"/>
          <w:szCs w:val="20"/>
          <w:lang w:val="en-US" w:eastAsia="zh-CN"/>
        </w:rPr>
        <w:t>Proposal 2: Using single carrier MPR instead of CA MPR means larger transmission power, and ACLR/SEM/SE requirement needs to meet the corresponding single carrier requirement.</w:t>
      </w:r>
    </w:p>
    <w:p>
      <w:pPr>
        <w:spacing w:before="120" w:after="120"/>
        <w:rPr>
          <w:rFonts w:hint="eastAsia" w:ascii="Times New Roman" w:hAnsi="Times New Roman" w:eastAsia="宋体"/>
          <w:sz w:val="20"/>
          <w:szCs w:val="20"/>
          <w:lang w:val="en-US" w:eastAsia="zh-CN"/>
        </w:rPr>
      </w:pPr>
      <w:r>
        <w:rPr>
          <w:rFonts w:ascii="Times New Roman" w:hAnsi="Times New Roman" w:eastAsia="宋体"/>
          <w:sz w:val="20"/>
          <w:szCs w:val="20"/>
        </w:rPr>
        <w:t>According to the analysis of [</w:t>
      </w:r>
      <w:r>
        <w:rPr>
          <w:rFonts w:hint="eastAsia"/>
          <w:sz w:val="20"/>
          <w:szCs w:val="20"/>
          <w:lang w:val="en-US" w:eastAsia="zh-CN"/>
        </w:rPr>
        <w:t>3</w:t>
      </w:r>
      <w:r>
        <w:rPr>
          <w:rFonts w:ascii="Times New Roman" w:hAnsi="Times New Roman" w:eastAsia="宋体"/>
          <w:sz w:val="20"/>
          <w:szCs w:val="20"/>
        </w:rPr>
        <w:t xml:space="preserve">], </w:t>
      </w:r>
      <w:r>
        <w:rPr>
          <w:rFonts w:hint="eastAsia"/>
          <w:sz w:val="20"/>
          <w:szCs w:val="20"/>
          <w:lang w:val="en-US" w:eastAsia="zh-CN"/>
        </w:rPr>
        <w:t>the technique reason for large MPR was defined for the exception cases in NC CA is considering the excessive emissions caused by the 3rd order intermodulation product between the TX allocation and the LO leakage/Image when the LO is not at the center of the channel BW in the NC-ULCA case for 1 LO architecture</w:t>
      </w:r>
      <w:r>
        <w:rPr>
          <w:rFonts w:ascii="Times New Roman" w:hAnsi="Times New Roman" w:eastAsia="宋体"/>
          <w:sz w:val="20"/>
          <w:szCs w:val="20"/>
        </w:rPr>
        <w:t xml:space="preserve">. </w:t>
      </w:r>
      <w:r>
        <w:rPr>
          <w:rFonts w:hint="eastAsia" w:ascii="Times New Roman" w:hAnsi="Times New Roman" w:eastAsia="宋体"/>
          <w:sz w:val="20"/>
          <w:szCs w:val="20"/>
        </w:rPr>
        <w:t>When the LO is not at the center of the channel BW, depending on the NC-ULCA configuration, the spurious limit requirement is -30dBm/MHz as opposed to -13dBm/MHz as in the single CC fall back case.</w:t>
      </w:r>
      <w:r>
        <w:rPr>
          <w:rFonts w:hint="eastAsia"/>
          <w:sz w:val="20"/>
          <w:szCs w:val="20"/>
          <w:lang w:val="en-US" w:eastAsia="zh-CN"/>
        </w:rPr>
        <w:t xml:space="preserve"> </w:t>
      </w:r>
    </w:p>
    <w:p>
      <w:pPr>
        <w:spacing w:before="120" w:after="120"/>
        <w:rPr>
          <w:rFonts w:hint="default"/>
          <w:sz w:val="20"/>
          <w:szCs w:val="20"/>
          <w:lang w:val="en-US" w:eastAsia="zh-CN"/>
        </w:rPr>
      </w:pPr>
      <w:r>
        <w:rPr>
          <w:rFonts w:hint="eastAsia" w:ascii="Times New Roman" w:hAnsi="Times New Roman" w:eastAsia="宋体"/>
          <w:sz w:val="20"/>
          <w:szCs w:val="20"/>
          <w:lang w:val="en-US" w:eastAsia="zh-CN"/>
        </w:rPr>
        <w:t>Consider this UE implementation,</w:t>
      </w:r>
      <w:r>
        <w:rPr>
          <w:rFonts w:hint="eastAsia"/>
          <w:sz w:val="20"/>
          <w:szCs w:val="20"/>
          <w:lang w:val="en-US" w:eastAsia="zh-CN"/>
        </w:rPr>
        <w:t xml:space="preserve"> we think there is no need to redefine the MPR for the exception cases. For PC3 and PC2 intra-band non-contiguous CA as the standard already accounts for the use of the single CC MPR tables when only 1 CC is scheduled no further changes to the standard are required.</w:t>
      </w:r>
    </w:p>
    <w:p>
      <w:pPr>
        <w:spacing w:before="120" w:after="120"/>
        <w:rPr>
          <w:rFonts w:hint="default"/>
          <w:sz w:val="20"/>
          <w:szCs w:val="20"/>
          <w:lang w:val="en-US" w:eastAsia="zh-CN"/>
        </w:rPr>
      </w:pPr>
      <w:r>
        <w:rPr>
          <w:rFonts w:hint="eastAsia"/>
          <w:b/>
          <w:bCs/>
          <w:i w:val="0"/>
          <w:iCs w:val="0"/>
          <w:sz w:val="20"/>
          <w:szCs w:val="20"/>
          <w:lang w:val="en-US" w:eastAsia="zh-CN"/>
        </w:rPr>
        <w:t>Proposal 3: For PC3 and PC2 intra-band non-contiguous CA as the standard already accounts for the use of the single CC MPR tables when only 1 CC is scheduled no further changes to the standard are required.</w:t>
      </w:r>
    </w:p>
    <w:p>
      <w:pPr>
        <w:jc w:val="center"/>
        <w:rPr>
          <w:rFonts w:hint="default"/>
          <w:sz w:val="20"/>
          <w:szCs w:val="20"/>
          <w:lang w:val="en-US" w:eastAsia="zh-CN"/>
        </w:rPr>
      </w:pPr>
      <w:r>
        <w:rPr>
          <w:lang w:val="en-US"/>
        </w:rPr>
        <w:drawing>
          <wp:inline distT="0" distB="0" distL="0" distR="0">
            <wp:extent cx="4345305" cy="1826895"/>
            <wp:effectExtent l="97155" t="71755" r="99060" b="825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
                    <a:stretch>
                      <a:fillRect/>
                    </a:stretch>
                  </pic:blipFill>
                  <pic:spPr>
                    <a:xfrm>
                      <a:off x="0" y="0"/>
                      <a:ext cx="4360411" cy="1833535"/>
                    </a:xfrm>
                    <a:prstGeom prst="rect">
                      <a:avLst/>
                    </a:prstGeom>
                    <a:effectLst>
                      <a:outerShdw blurRad="63500" sx="102000" sy="102000" algn="ctr" rotWithShape="0">
                        <a:prstClr val="black">
                          <a:alpha val="40000"/>
                        </a:prstClr>
                      </a:outerShdw>
                    </a:effectLst>
                  </pic:spPr>
                </pic:pic>
              </a:graphicData>
            </a:graphic>
          </wp:inline>
        </w:drawing>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val="0"/>
          <w:bCs w:val="0"/>
          <w:i w:val="0"/>
          <w:iCs/>
          <w:sz w:val="20"/>
          <w:szCs w:val="20"/>
          <w:lang w:val="en-US" w:eastAsia="zh-CN"/>
        </w:rPr>
      </w:pPr>
      <w:r>
        <w:rPr>
          <w:rFonts w:hint="eastAsia"/>
          <w:b/>
          <w:bCs/>
          <w:i w:val="0"/>
          <w:iCs w:val="0"/>
          <w:sz w:val="20"/>
          <w:szCs w:val="20"/>
          <w:lang w:val="en-US" w:eastAsia="zh-CN"/>
        </w:rPr>
        <w:t>Proposal 1: For PC3 and PC2 contiguous UL CA use the corresponding single CC MPR including power boosting when only 1 CC is activated.</w:t>
      </w:r>
    </w:p>
    <w:p>
      <w:pPr>
        <w:rPr>
          <w:rFonts w:hint="eastAsia"/>
          <w:b/>
          <w:bCs/>
          <w:i w:val="0"/>
          <w:iCs w:val="0"/>
          <w:sz w:val="20"/>
          <w:szCs w:val="20"/>
          <w:lang w:val="en-US" w:eastAsia="zh-CN"/>
        </w:rPr>
      </w:pPr>
      <w:bookmarkStart w:id="6" w:name="_GoBack"/>
      <w:bookmarkEnd w:id="6"/>
      <w:r>
        <w:rPr>
          <w:rFonts w:hint="eastAsia"/>
          <w:b/>
          <w:bCs/>
          <w:i w:val="0"/>
          <w:iCs w:val="0"/>
          <w:sz w:val="20"/>
          <w:szCs w:val="20"/>
          <w:lang w:val="en-US" w:eastAsia="zh-CN"/>
        </w:rPr>
        <w:t>Proposal 2: Using single carrier MPR instead of CA MPR means larger transmission power, and ACLR/SEM/SE requirement needs to meet the corresponding single carrier requirement.</w:t>
      </w:r>
    </w:p>
    <w:p>
      <w:pPr>
        <w:spacing w:before="120" w:after="120"/>
        <w:rPr>
          <w:rFonts w:hint="default"/>
          <w:sz w:val="20"/>
          <w:szCs w:val="20"/>
          <w:lang w:val="en-US" w:eastAsia="zh-CN"/>
        </w:rPr>
      </w:pPr>
      <w:r>
        <w:rPr>
          <w:rFonts w:hint="eastAsia"/>
          <w:b/>
          <w:bCs/>
          <w:i w:val="0"/>
          <w:iCs w:val="0"/>
          <w:sz w:val="20"/>
          <w:szCs w:val="20"/>
          <w:lang w:val="en-US" w:eastAsia="zh-CN"/>
        </w:rPr>
        <w:t>Proposal 3: For PC3 and PC2 intra-band non-contiguous CA as the standard already accounts for the use of the single CC MPR tables when only 1 CC is scheduled no further changes to the standard are required.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R4-2321960, LS on UE capabilities for MPR reduction, Nokia</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GB" w:eastAsia="zh-CN"/>
        </w:rPr>
      </w:pPr>
      <w:r>
        <w:rPr>
          <w:rFonts w:hint="eastAsia"/>
          <w:sz w:val="20"/>
          <w:szCs w:val="20"/>
          <w:lang w:val="en-GB" w:eastAsia="zh-CN"/>
        </w:rPr>
        <w:t>R4-2204225, 1CC fall-back MPR for NC UL CA with 1LO architecture, Qualcomm Incorporated, RAN4#102.</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C3771B6"/>
    <w:multiLevelType w:val="multilevel"/>
    <w:tmpl w:val="2C3771B6"/>
    <w:lvl w:ilvl="0" w:tentative="0">
      <w:start w:val="2"/>
      <w:numFmt w:val="bullet"/>
      <w:lvlText w:val="-"/>
      <w:lvlJc w:val="left"/>
      <w:pPr>
        <w:ind w:left="420" w:hanging="420"/>
      </w:pPr>
      <w:rPr>
        <w:rFonts w:hint="eastAsia" w:ascii="New York" w:hAnsi="New York" w:eastAsia="New York" w:cs="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0"/>
  </w:num>
  <w:num w:numId="3">
    <w:abstractNumId w:val="8"/>
  </w:num>
  <w:num w:numId="4">
    <w:abstractNumId w:val="5"/>
  </w:num>
  <w:num w:numId="5">
    <w:abstractNumId w:val="6"/>
  </w:num>
  <w:num w:numId="6">
    <w:abstractNumId w:val="1"/>
  </w:num>
  <w:num w:numId="7">
    <w:abstractNumId w:val="0"/>
  </w:num>
  <w:num w:numId="8">
    <w:abstractNumId w:val="2"/>
  </w:num>
  <w:num w:numId="9">
    <w:abstractNumId w:val="7"/>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ED2E61"/>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35E9"/>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A6B82"/>
    <w:rsid w:val="05636085"/>
    <w:rsid w:val="057D1D66"/>
    <w:rsid w:val="059D265F"/>
    <w:rsid w:val="059E1515"/>
    <w:rsid w:val="05AA6F8A"/>
    <w:rsid w:val="05B92EC1"/>
    <w:rsid w:val="05D05BD2"/>
    <w:rsid w:val="05DB542B"/>
    <w:rsid w:val="05E078B3"/>
    <w:rsid w:val="05E942A3"/>
    <w:rsid w:val="05EA759F"/>
    <w:rsid w:val="05EE6827"/>
    <w:rsid w:val="0601277E"/>
    <w:rsid w:val="060C5AED"/>
    <w:rsid w:val="06103146"/>
    <w:rsid w:val="06172561"/>
    <w:rsid w:val="061A6A13"/>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5268D"/>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EE14F5"/>
    <w:rsid w:val="1AF7297B"/>
    <w:rsid w:val="1AF97DCC"/>
    <w:rsid w:val="1AFB06A3"/>
    <w:rsid w:val="1B062896"/>
    <w:rsid w:val="1B0F19AE"/>
    <w:rsid w:val="1B141BBC"/>
    <w:rsid w:val="1B2160BB"/>
    <w:rsid w:val="1B2B6699"/>
    <w:rsid w:val="1B3637AD"/>
    <w:rsid w:val="1B3E0DB5"/>
    <w:rsid w:val="1B454C94"/>
    <w:rsid w:val="1B454E69"/>
    <w:rsid w:val="1B5C1145"/>
    <w:rsid w:val="1B5D79CB"/>
    <w:rsid w:val="1B6B769D"/>
    <w:rsid w:val="1B6C0DF0"/>
    <w:rsid w:val="1B7F6005"/>
    <w:rsid w:val="1B80192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ED69ED"/>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483150"/>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6D249A"/>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63D44"/>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84A7B"/>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16A5E"/>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53221C"/>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67B2"/>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41EA9"/>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D4F57"/>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C86852"/>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629F9"/>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EF2F07"/>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6A6D"/>
    <w:rsid w:val="5ADF4325"/>
    <w:rsid w:val="5AE8708E"/>
    <w:rsid w:val="5AEC14F6"/>
    <w:rsid w:val="5AF124A4"/>
    <w:rsid w:val="5AF80D20"/>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351F4"/>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51634C"/>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AF1936"/>
    <w:rsid w:val="61B173D2"/>
    <w:rsid w:val="61B25E8F"/>
    <w:rsid w:val="61BC4BE1"/>
    <w:rsid w:val="61C12DE2"/>
    <w:rsid w:val="61D43A2B"/>
    <w:rsid w:val="61E34474"/>
    <w:rsid w:val="61ED6D6A"/>
    <w:rsid w:val="61FF316E"/>
    <w:rsid w:val="62014BDB"/>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3FE7843"/>
    <w:rsid w:val="64046427"/>
    <w:rsid w:val="642369FC"/>
    <w:rsid w:val="64254882"/>
    <w:rsid w:val="64264A79"/>
    <w:rsid w:val="642A38B2"/>
    <w:rsid w:val="64304E58"/>
    <w:rsid w:val="64311867"/>
    <w:rsid w:val="64391ED3"/>
    <w:rsid w:val="6445632E"/>
    <w:rsid w:val="64566F9D"/>
    <w:rsid w:val="64596CB3"/>
    <w:rsid w:val="64742B63"/>
    <w:rsid w:val="647949B0"/>
    <w:rsid w:val="647C331C"/>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65AED"/>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30B07"/>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9701D"/>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976E42"/>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2024-08-09T08:47:16Z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